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TRENCHLESS-PIPELINE ANNULUS GROUTING</w:t>
      </w:r>
    </w:p>
    <w:p>
      <w:pPr>
        <w:spacing w:after="480"/>
      </w:pPr>
      <w:r>
        <w:rPr>
          <w:rFonts w:ascii="Aptos" w:hAnsi="Aptos"/>
          <w:b w:val="0"/>
          <w:color w:val="5E6B78"/>
          <w:sz w:val="26"/>
        </w:rPr>
        <w:t>Annulus Grouting untuk Paip Trenchless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trenchless-pipeline annulus grouting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trenchless-pipeline annulus grouting.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Cementitious or cellular grout</w:t>
      </w:r>
    </w:p>
    <w:p>
      <w:pPr>
        <w:pStyle w:val="ListBullet"/>
        <w:spacing w:after="50"/>
        <w:ind w:left="369" w:hanging="170"/>
      </w:pPr>
      <w:r>
        <w:rPr>
          <w:rFonts w:ascii="Aptos" w:hAnsi="Aptos"/>
          <w:b w:val="0"/>
          <w:color w:val="263442"/>
          <w:sz w:val="19"/>
        </w:rPr>
        <w:t>Approved admixtures</w:t>
      </w:r>
    </w:p>
    <w:p>
      <w:pPr>
        <w:pStyle w:val="ListBullet"/>
        <w:spacing w:after="50"/>
        <w:ind w:left="369" w:hanging="170"/>
      </w:pPr>
      <w:r>
        <w:rPr>
          <w:rFonts w:ascii="Aptos" w:hAnsi="Aptos"/>
          <w:b w:val="0"/>
          <w:color w:val="263442"/>
          <w:sz w:val="19"/>
        </w:rPr>
        <w:t>Vent pipes</w:t>
      </w:r>
    </w:p>
    <w:p>
      <w:pPr>
        <w:pStyle w:val="ListBullet"/>
        <w:spacing w:after="50"/>
        <w:ind w:left="369" w:hanging="170"/>
      </w:pPr>
      <w:r>
        <w:rPr>
          <w:rFonts w:ascii="Aptos" w:hAnsi="Aptos"/>
          <w:b w:val="0"/>
          <w:color w:val="263442"/>
          <w:sz w:val="19"/>
        </w:rPr>
        <w:t>Temporary bulkheads</w:t>
      </w:r>
    </w:p>
    <w:p>
      <w:pPr>
        <w:pStyle w:val="ListBullet"/>
        <w:spacing w:after="50"/>
        <w:ind w:left="369" w:hanging="170"/>
      </w:pPr>
      <w:r>
        <w:rPr>
          <w:rFonts w:ascii="Aptos" w:hAnsi="Aptos"/>
          <w:b w:val="0"/>
          <w:color w:val="263442"/>
          <w:sz w:val="19"/>
        </w:rPr>
        <w:t>Washout 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Colloidal mixer</w:t>
      </w:r>
    </w:p>
    <w:p>
      <w:pPr>
        <w:pStyle w:val="ListBullet"/>
        <w:spacing w:after="50"/>
        <w:ind w:left="369" w:hanging="170"/>
      </w:pPr>
      <w:r>
        <w:rPr>
          <w:rFonts w:ascii="Aptos" w:hAnsi="Aptos"/>
          <w:b w:val="0"/>
          <w:color w:val="263442"/>
          <w:sz w:val="19"/>
        </w:rPr>
        <w:t>Grout pump</w:t>
      </w:r>
    </w:p>
    <w:p>
      <w:pPr>
        <w:pStyle w:val="ListBullet"/>
        <w:spacing w:after="50"/>
        <w:ind w:left="369" w:hanging="170"/>
      </w:pPr>
      <w:r>
        <w:rPr>
          <w:rFonts w:ascii="Aptos" w:hAnsi="Aptos"/>
          <w:b w:val="0"/>
          <w:color w:val="263442"/>
          <w:sz w:val="19"/>
        </w:rPr>
        <w:t>Pressure and flow gauges</w:t>
      </w:r>
    </w:p>
    <w:p>
      <w:pPr>
        <w:pStyle w:val="ListBullet"/>
        <w:spacing w:after="50"/>
        <w:ind w:left="369" w:hanging="170"/>
      </w:pPr>
      <w:r>
        <w:rPr>
          <w:rFonts w:ascii="Aptos" w:hAnsi="Aptos"/>
          <w:b w:val="0"/>
          <w:color w:val="263442"/>
          <w:sz w:val="19"/>
        </w:rPr>
        <w:t>Density and bleed-test equipment</w:t>
      </w:r>
    </w:p>
    <w:p>
      <w:pPr>
        <w:pStyle w:val="ListBullet"/>
        <w:spacing w:after="50"/>
        <w:ind w:left="369" w:hanging="170"/>
      </w:pPr>
      <w:r>
        <w:rPr>
          <w:rFonts w:ascii="Aptos" w:hAnsi="Aptos"/>
          <w:b w:val="0"/>
          <w:color w:val="263442"/>
          <w:sz w:val="19"/>
        </w:rPr>
        <w:t>Communication radios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trenchless-pipeline annulus grouting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Cementitious or cellular grout, Approved admixtures, Vent pipes, Temporary bulkheads, Washout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grout type. </w:t>
      </w:r>
      <w:r>
        <w:rPr>
          <w:rFonts w:ascii="Aptos" w:hAnsi="Aptos"/>
          <w:b w:val="0"/>
          <w:color w:val="263442"/>
          <w:sz w:val="19"/>
        </w:rPr>
        <w:t>Approve grout type, annulus volume, bulkheads, stages, pressure limits, vents and contingency plan.</w:t>
      </w:r>
    </w:p>
    <w:p>
      <w:pPr>
        <w:keepLines/>
        <w:spacing w:after="100" w:line="269" w:lineRule="auto"/>
        <w:ind w:left="369" w:hanging="369"/>
      </w:pPr>
      <w:r>
        <w:rPr>
          <w:rFonts w:ascii="Aptos" w:hAnsi="Aptos"/>
          <w:b/>
          <w:color w:val="071E33"/>
          <w:sz w:val="19"/>
        </w:rPr>
        <w:t xml:space="preserve">2. Survey the pipeline. </w:t>
      </w:r>
      <w:r>
        <w:rPr>
          <w:rFonts w:ascii="Aptos" w:hAnsi="Aptos"/>
          <w:b w:val="0"/>
          <w:color w:val="263442"/>
          <w:sz w:val="19"/>
        </w:rPr>
        <w:t>Survey the pipeline, seal entries and joints and install injection and vent points at verified elevations.</w:t>
      </w:r>
    </w:p>
    <w:p>
      <w:pPr>
        <w:keepLines/>
        <w:spacing w:after="100" w:line="269" w:lineRule="auto"/>
        <w:ind w:left="369" w:hanging="369"/>
      </w:pPr>
      <w:r>
        <w:rPr>
          <w:rFonts w:ascii="Aptos" w:hAnsi="Aptos"/>
          <w:b/>
          <w:color w:val="071E33"/>
          <w:sz w:val="19"/>
        </w:rPr>
        <w:t xml:space="preserve">3. Batch grout to the approved density. </w:t>
      </w:r>
      <w:r>
        <w:rPr>
          <w:rFonts w:ascii="Aptos" w:hAnsi="Aptos"/>
          <w:b w:val="0"/>
          <w:color w:val="263442"/>
          <w:sz w:val="19"/>
        </w:rPr>
        <w:t>Batch grout to the approved density, flow and bleed criteria and confirm calibrated pressure monitoring.</w:t>
      </w:r>
    </w:p>
    <w:p>
      <w:pPr>
        <w:keepLines/>
        <w:spacing w:after="100" w:line="269" w:lineRule="auto"/>
        <w:ind w:left="369" w:hanging="369"/>
      </w:pPr>
      <w:r>
        <w:rPr>
          <w:rFonts w:ascii="Aptos" w:hAnsi="Aptos"/>
          <w:b/>
          <w:color w:val="071E33"/>
          <w:sz w:val="19"/>
        </w:rPr>
        <w:t xml:space="preserve">4. Inject from low points in controlled stages. </w:t>
      </w:r>
      <w:r>
        <w:rPr>
          <w:rFonts w:ascii="Aptos" w:hAnsi="Aptos"/>
          <w:b w:val="0"/>
          <w:color w:val="263442"/>
          <w:sz w:val="19"/>
        </w:rPr>
        <w:t>Inject from low points in controlled stages while observing vents, pipe movement, pressure and theoretical take.</w:t>
      </w:r>
    </w:p>
    <w:p>
      <w:pPr>
        <w:keepLines/>
        <w:spacing w:after="100" w:line="269" w:lineRule="auto"/>
        <w:ind w:left="369" w:hanging="369"/>
      </w:pPr>
      <w:r>
        <w:rPr>
          <w:rFonts w:ascii="Aptos" w:hAnsi="Aptos"/>
          <w:b/>
          <w:color w:val="071E33"/>
          <w:sz w:val="19"/>
        </w:rPr>
        <w:t xml:space="preserve">5. Close vents only after consistent grout discharge. </w:t>
      </w:r>
      <w:r>
        <w:rPr>
          <w:rFonts w:ascii="Aptos" w:hAnsi="Aptos"/>
          <w:b w:val="0"/>
          <w:color w:val="263442"/>
          <w:sz w:val="19"/>
        </w:rPr>
        <w:t>Close vents only after consistent grout discharge and stop before pipe or ground pressure limits are exceeded.</w:t>
      </w:r>
    </w:p>
    <w:p>
      <w:pPr>
        <w:keepLines/>
        <w:spacing w:after="100" w:line="269" w:lineRule="auto"/>
        <w:ind w:left="369" w:hanging="369"/>
      </w:pPr>
      <w:r>
        <w:rPr>
          <w:rFonts w:ascii="Aptos" w:hAnsi="Aptos"/>
          <w:b/>
          <w:color w:val="071E33"/>
          <w:sz w:val="19"/>
        </w:rPr>
        <w:t xml:space="preserve">6. Top up after settlement. </w:t>
      </w:r>
      <w:r>
        <w:rPr>
          <w:rFonts w:ascii="Aptos" w:hAnsi="Aptos"/>
          <w:b w:val="0"/>
          <w:color w:val="263442"/>
          <w:sz w:val="19"/>
        </w:rPr>
        <w:t>Top up after settlement where required and compile batch, volume, pressure, vent and completion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grouting plan; seals and vents; grout tests; injection pressure; vent closure; volume and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grout pressure; pipe flotation; bulkhead failure; cement contact; uncontrolled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Grouting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Seals and vents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Grout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Injection pressure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Vent closure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Volume and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Grout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flotation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Bulkhead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Trenchless-Pipeline Annulus Grouting</dc:title>
  <dc:subject>Editable construction method statement template</dc:subject>
  <dc:creator>Method Statement Hub Malaysia</dc:creator>
  <cp:keywords>annulus grouting, trenchless pipe, void filling, pipeline</cp:keywords>
  <dc:description>generated by python-docx</dc:description>
  <cp:lastModifiedBy/>
  <cp:revision>1</cp:revision>
  <dcterms:created xsi:type="dcterms:W3CDTF">2013-12-23T23:15:00Z</dcterms:created>
  <dcterms:modified xsi:type="dcterms:W3CDTF">2013-12-23T23:15:00Z</dcterms:modified>
  <cp:category/>
</cp:coreProperties>
</file>